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B2630" w:color="auto" w:val="clear"/>
        <w:spacing w:after="120" w:before="40"/>
      </w:pPr>
      <w:r>
        <w:rPr>
          <w:rFonts w:ascii="Calibri" w:cs="Calibri" w:eastAsia="Calibri" w:hAnsi="Calibri"/>
          <w:b/>
          <w:bCs/>
          <w:color w:val="FFFFFF"/>
          <w:sz w:val="30"/>
          <w:szCs w:val="30"/>
        </w:rPr>
        <w:t xml:space="preserve">PROGRAMME GOVERNANCE PACK</w:t>
      </w:r>
    </w:p>
    <w:p>
      <w:pPr>
        <w:shd w:fill="16323D" w:color="auto" w:val="clear"/>
        <w:spacing w:after="240"/>
      </w:pPr>
      <w:r>
        <w:rPr>
          <w:rFonts w:ascii="Calibri" w:cs="Calibri" w:eastAsia="Calibri" w:hAnsi="Calibri"/>
          <w:i/>
          <w:iCs/>
          <w:color w:val="FFFFFF"/>
          <w:sz w:val="18"/>
          <w:szCs w:val="18"/>
        </w:rPr>
        <w:t xml:space="preserve">  A drop-in governance scaffold for multi-team programmes  ·  template by Ritika Raje</w:t>
      </w:r>
    </w:p>
    <w:p>
      <w:pPr>
        <w:spacing w:after="120"/>
      </w:pPr>
      <w:r>
        <w:rPr>
          <w:rFonts w:ascii="Calibri" w:cs="Calibri" w:eastAsia="Calibri" w:hAnsi="Calibri"/>
          <w:i w:val="false"/>
          <w:iCs w:val="false"/>
          <w:color w:val="1A2B2E"/>
          <w:sz w:val="21"/>
          <w:szCs w:val="21"/>
        </w:rPr>
        <w:t xml:space="preserve">This pack gives a new or drifting programme the minimum governance it needs to stay honest: who decides what, who does what, how decisions get recorded, and how status flows upward. It is deliberately lightweight. Fill in the italicised placeholders, delete what you don't need, and resist the urge to add ceremony the programme won't sustain.</w:t>
      </w:r>
    </w:p>
    <w:p>
      <w:pPr>
        <w:pBdr>
          <w:bottom w:val="single" w:color="D9902B" w:sz="12"/>
        </w:pBdr>
        <w:spacing w:after="120" w:before="300"/>
      </w:pPr>
      <w:r>
        <w:rPr>
          <w:rFonts w:ascii="Calibri" w:cs="Calibri" w:eastAsia="Calibri" w:hAnsi="Calibri"/>
          <w:b/>
          <w:bCs/>
          <w:color w:val="0B2630"/>
          <w:sz w:val="24"/>
          <w:szCs w:val="24"/>
        </w:rPr>
        <w:t xml:space="preserve">1.  Governance Structure</w:t>
      </w:r>
    </w:p>
    <w:p>
      <w:pPr>
        <w:spacing w:after="120"/>
      </w:pPr>
      <w:r>
        <w:rPr>
          <w:rFonts w:ascii="Calibri" w:cs="Calibri" w:eastAsia="Calibri" w:hAnsi="Calibri"/>
          <w:i w:val="false"/>
          <w:iCs w:val="false"/>
          <w:color w:val="1A2B2E"/>
          <w:sz w:val="21"/>
          <w:szCs w:val="21"/>
        </w:rPr>
        <w:t xml:space="preserve">Three tiers cover most programmes. Add or collapse tiers to match scale — a small programme may fold the Board and Delivery Group into one.</w:t>
      </w:r>
    </w:p>
    <w:tbl>
      <w:tblPr>
        <w:tblW w:type="dxa" w:w="10000"/>
        <w:tblBorders>
          <w:top w:val="single" w:color="C9D2D2" w:sz="4"/>
          <w:left w:val="single" w:color="C9D2D2" w:sz="4"/>
          <w:bottom w:val="single" w:color="C9D2D2" w:sz="4"/>
          <w:right w:val="single" w:color="C9D2D2" w:sz="4"/>
          <w:insideH w:val="single" w:color="C9D2D2" w:sz="4"/>
          <w:insideV w:val="single" w:color="C9D2D2" w:sz="4"/>
        </w:tblBorders>
      </w:tblPr>
      <w:tblGrid>
        <w:gridCol w:w="1500"/>
        <w:gridCol w:w="3200"/>
        <w:gridCol w:w="2100"/>
        <w:gridCol w:w="1600"/>
        <w:gridCol w:w="1600"/>
      </w:tblGrid>
      <w:tr>
        <w:trPr>
          <w:tblHeader/>
        </w:trPr>
        <w:tc>
          <w:tcPr>
            <w:tcW w:type="dxa" w:w="15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Body</w:t>
            </w:r>
          </w:p>
        </w:tc>
        <w:tc>
          <w:tcPr>
            <w:tcW w:type="dxa" w:w="32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Purpose</w:t>
            </w:r>
          </w:p>
        </w:tc>
        <w:tc>
          <w:tcPr>
            <w:tcW w:type="dxa" w:w="21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Membership</w:t>
            </w:r>
          </w:p>
        </w:tc>
        <w:tc>
          <w:tcPr>
            <w:tcW w:type="dxa" w:w="16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Frequency</w:t>
            </w:r>
          </w:p>
        </w:tc>
        <w:tc>
          <w:tcPr>
            <w:tcW w:type="dxa" w:w="16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Owns</w:t>
            </w:r>
          </w:p>
        </w:tc>
      </w:tr>
      <w:tr>
        <w:trPr>
          <w:tblHeader w:val="false"/>
        </w:trPr>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Steering Committee</w:t>
            </w:r>
          </w:p>
        </w:tc>
        <w:tc>
          <w:tcPr>
            <w:tcW w:type="dxa" w:w="3200"/>
            <w:tcMar>
              <w:top w:type="dxa" w:w="60"/>
              <w:left w:type="dxa" w:w="100"/>
              <w:bottom w:type="dxa" w:w="60"/>
              <w:right w:type="dxa" w:w="100"/>
            </w:tcMar>
          </w:tcPr>
          <w:p>
            <w:r>
              <w:rPr>
                <w:rFonts w:ascii="Calibri" w:cs="Calibri" w:eastAsia="Calibri" w:hAnsi="Calibri"/>
                <w:b w:val="false"/>
                <w:bCs w:val="false"/>
                <w:color w:val="1A2B2E"/>
                <w:sz w:val="19"/>
                <w:szCs w:val="19"/>
              </w:rPr>
              <w:t xml:space="preserve">Sets direction, unblocks escalations, holds the budget.</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Sponsor, senior stakeholders, Programme Manager</w:t>
            </w:r>
          </w:p>
        </w:tc>
        <w:tc>
          <w:tcPr>
            <w:tcW w:type="dxa" w:w="1600"/>
            <w:tcMar>
              <w:top w:type="dxa" w:w="60"/>
              <w:left w:type="dxa" w:w="100"/>
              <w:bottom w:type="dxa" w:w="60"/>
              <w:right w:type="dxa" w:w="100"/>
            </w:tcMar>
          </w:tcPr>
          <w:p>
            <w:r>
              <w:rPr>
                <w:rFonts w:ascii="Calibri" w:cs="Calibri" w:eastAsia="Calibri" w:hAnsi="Calibri"/>
                <w:b w:val="false"/>
                <w:bCs w:val="false"/>
                <w:color w:val="1A2B2E"/>
                <w:sz w:val="19"/>
                <w:szCs w:val="19"/>
              </w:rPr>
              <w:t xml:space="preserve">Monthly</w:t>
            </w:r>
          </w:p>
        </w:tc>
        <w:tc>
          <w:tcPr>
            <w:tcW w:type="dxa" w:w="1600"/>
            <w:tcMar>
              <w:top w:type="dxa" w:w="60"/>
              <w:left w:type="dxa" w:w="100"/>
              <w:bottom w:type="dxa" w:w="60"/>
              <w:right w:type="dxa" w:w="100"/>
            </w:tcMar>
          </w:tcPr>
          <w:p>
            <w:r>
              <w:rPr>
                <w:rFonts w:ascii="Calibri" w:cs="Calibri" w:eastAsia="Calibri" w:hAnsi="Calibri"/>
                <w:b w:val="false"/>
                <w:bCs w:val="false"/>
                <w:color w:val="1A2B2E"/>
                <w:sz w:val="19"/>
                <w:szCs w:val="19"/>
              </w:rPr>
              <w:t xml:space="preserve">Scope, budget, go/no-go</w:t>
            </w:r>
          </w:p>
        </w:tc>
      </w:tr>
      <w:tr>
        <w:trPr>
          <w:tblHeader w:val="false"/>
        </w:trPr>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Programme Board</w:t>
            </w:r>
          </w:p>
        </w:tc>
        <w:tc>
          <w:tcPr>
            <w:tcW w:type="dxa" w:w="32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Oversees delivery health across workstreams.</w:t>
            </w:r>
          </w:p>
        </w:tc>
        <w:tc>
          <w:tcPr>
            <w:tcW w:type="dxa" w:w="21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Programme Manager, workstream leads, PMO</w:t>
            </w:r>
          </w:p>
        </w:tc>
        <w:tc>
          <w:tcPr>
            <w:tcW w:type="dxa" w:w="16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Fortnightly</w:t>
            </w:r>
          </w:p>
        </w:tc>
        <w:tc>
          <w:tcPr>
            <w:tcW w:type="dxa" w:w="16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Plan, risk, dependencies</w:t>
            </w:r>
          </w:p>
        </w:tc>
      </w:tr>
      <w:tr>
        <w:trPr>
          <w:tblHeader w:val="false"/>
        </w:trPr>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Delivery / Working Group</w:t>
            </w:r>
          </w:p>
        </w:tc>
        <w:tc>
          <w:tcPr>
            <w:tcW w:type="dxa" w:w="3200"/>
            <w:tcMar>
              <w:top w:type="dxa" w:w="60"/>
              <w:left w:type="dxa" w:w="100"/>
              <w:bottom w:type="dxa" w:w="60"/>
              <w:right w:type="dxa" w:w="100"/>
            </w:tcMar>
          </w:tcPr>
          <w:p>
            <w:r>
              <w:rPr>
                <w:rFonts w:ascii="Calibri" w:cs="Calibri" w:eastAsia="Calibri" w:hAnsi="Calibri"/>
                <w:b w:val="false"/>
                <w:bCs w:val="false"/>
                <w:color w:val="1A2B2E"/>
                <w:sz w:val="19"/>
                <w:szCs w:val="19"/>
              </w:rPr>
              <w:t xml:space="preserve">Does the work; surfaces issues early.</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Workstream leads, key contributors</w:t>
            </w:r>
          </w:p>
        </w:tc>
        <w:tc>
          <w:tcPr>
            <w:tcW w:type="dxa" w:w="1600"/>
            <w:tcMar>
              <w:top w:type="dxa" w:w="60"/>
              <w:left w:type="dxa" w:w="100"/>
              <w:bottom w:type="dxa" w:w="60"/>
              <w:right w:type="dxa" w:w="100"/>
            </w:tcMar>
          </w:tcPr>
          <w:p>
            <w:r>
              <w:rPr>
                <w:rFonts w:ascii="Calibri" w:cs="Calibri" w:eastAsia="Calibri" w:hAnsi="Calibri"/>
                <w:b w:val="false"/>
                <w:bCs w:val="false"/>
                <w:color w:val="1A2B2E"/>
                <w:sz w:val="19"/>
                <w:szCs w:val="19"/>
              </w:rPr>
              <w:t xml:space="preserve">Weekly</w:t>
            </w:r>
          </w:p>
        </w:tc>
        <w:tc>
          <w:tcPr>
            <w:tcW w:type="dxa" w:w="1600"/>
            <w:tcMar>
              <w:top w:type="dxa" w:w="60"/>
              <w:left w:type="dxa" w:w="100"/>
              <w:bottom w:type="dxa" w:w="60"/>
              <w:right w:type="dxa" w:w="100"/>
            </w:tcMar>
          </w:tcPr>
          <w:p>
            <w:r>
              <w:rPr>
                <w:rFonts w:ascii="Calibri" w:cs="Calibri" w:eastAsia="Calibri" w:hAnsi="Calibri"/>
                <w:b w:val="false"/>
                <w:bCs w:val="false"/>
                <w:color w:val="1A2B2E"/>
                <w:sz w:val="19"/>
                <w:szCs w:val="19"/>
              </w:rPr>
              <w:t xml:space="preserve">Tasks, day-to-day decisions</w:t>
            </w:r>
          </w:p>
        </w:tc>
      </w:tr>
    </w:tbl>
    <w:p>
      <w:pPr>
        <w:pBdr>
          <w:bottom w:val="single" w:color="D9902B" w:sz="12"/>
        </w:pBdr>
        <w:spacing w:after="120" w:before="300"/>
      </w:pPr>
      <w:r>
        <w:rPr>
          <w:rFonts w:ascii="Calibri" w:cs="Calibri" w:eastAsia="Calibri" w:hAnsi="Calibri"/>
          <w:b/>
          <w:bCs/>
          <w:color w:val="0B2630"/>
          <w:sz w:val="24"/>
          <w:szCs w:val="24"/>
        </w:rPr>
        <w:t xml:space="preserve">2.  RACI Matrix</w:t>
      </w:r>
    </w:p>
    <w:p>
      <w:pPr>
        <w:spacing w:after="120"/>
      </w:pPr>
      <w:r>
        <w:rPr>
          <w:rFonts w:ascii="Calibri" w:cs="Calibri" w:eastAsia="Calibri" w:hAnsi="Calibri"/>
          <w:i w:val="false"/>
          <w:iCs w:val="false"/>
          <w:color w:val="1A2B2E"/>
          <w:sz w:val="21"/>
          <w:szCs w:val="21"/>
        </w:rPr>
        <w:t xml:space="preserve">R = Responsible (does it) · A = Accountable (owns the outcome, one per row) · C = Consulted · I = Informed. Replace the activities and role columns with your own; a worked set is shown.</w:t>
      </w:r>
    </w:p>
    <w:tbl>
      <w:tblPr>
        <w:tblW w:type="dxa" w:w="8200"/>
        <w:tblBorders>
          <w:top w:val="single" w:color="C9D2D2" w:sz="4"/>
          <w:left w:val="single" w:color="C9D2D2" w:sz="4"/>
          <w:bottom w:val="single" w:color="C9D2D2" w:sz="4"/>
          <w:right w:val="single" w:color="C9D2D2" w:sz="4"/>
          <w:insideH w:val="single" w:color="C9D2D2" w:sz="4"/>
          <w:insideV w:val="single" w:color="C9D2D2" w:sz="4"/>
        </w:tblBorders>
      </w:tblPr>
      <w:tblGrid>
        <w:gridCol w:w="2600"/>
        <w:gridCol w:w="1300"/>
        <w:gridCol w:w="1500"/>
        <w:gridCol w:w="1500"/>
        <w:gridCol w:w="1300"/>
      </w:tblGrid>
      <w:tr>
        <w:trPr>
          <w:tblHeader/>
        </w:trPr>
        <w:tc>
          <w:tcPr>
            <w:tcW w:type="dxa" w:w="26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Activity</w:t>
            </w:r>
          </w:p>
        </w:tc>
        <w:tc>
          <w:tcPr>
            <w:tcW w:type="dxa" w:w="13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Sponsor</w:t>
            </w:r>
          </w:p>
        </w:tc>
        <w:tc>
          <w:tcPr>
            <w:tcW w:type="dxa" w:w="15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Prog. Mgr</w:t>
            </w:r>
          </w:p>
        </w:tc>
        <w:tc>
          <w:tcPr>
            <w:tcW w:type="dxa" w:w="15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W/S Lead</w:t>
            </w:r>
          </w:p>
        </w:tc>
        <w:tc>
          <w:tcPr>
            <w:tcW w:type="dxa" w:w="13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PMO</w:t>
            </w:r>
          </w:p>
        </w:tc>
      </w:tr>
      <w:tr>
        <w:trPr>
          <w:tblHeader w:val="false"/>
        </w:trPr>
        <w:tc>
          <w:tcPr>
            <w:tcW w:type="dxa" w:w="2600"/>
            <w:tcMar>
              <w:top w:type="dxa" w:w="60"/>
              <w:left w:type="dxa" w:w="100"/>
              <w:bottom w:type="dxa" w:w="60"/>
              <w:right w:type="dxa" w:w="100"/>
            </w:tcMar>
          </w:tcPr>
          <w:p>
            <w:r>
              <w:rPr>
                <w:rFonts w:ascii="Calibri" w:cs="Calibri" w:eastAsia="Calibri" w:hAnsi="Calibri"/>
                <w:b w:val="false"/>
                <w:bCs w:val="false"/>
                <w:color w:val="1A2B2E"/>
                <w:sz w:val="19"/>
                <w:szCs w:val="19"/>
              </w:rPr>
              <w:t xml:space="preserve">Approve business case</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A</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R</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C</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I</w:t>
            </w:r>
          </w:p>
        </w:tc>
      </w:tr>
      <w:tr>
        <w:trPr>
          <w:tblHeader w:val="false"/>
        </w:trPr>
        <w:tc>
          <w:tcPr>
            <w:tcW w:type="dxa" w:w="26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Maintain delivery plan</w:t>
            </w:r>
          </w:p>
        </w:tc>
        <w:tc>
          <w:tcPr>
            <w:tcW w:type="dxa" w:w="13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I</w:t>
            </w:r>
          </w:p>
        </w:tc>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A</w:t>
            </w:r>
          </w:p>
        </w:tc>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R</w:t>
            </w:r>
          </w:p>
        </w:tc>
        <w:tc>
          <w:tcPr>
            <w:tcW w:type="dxa" w:w="13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C</w:t>
            </w:r>
          </w:p>
        </w:tc>
      </w:tr>
      <w:tr>
        <w:trPr>
          <w:tblHeader w:val="false"/>
        </w:trPr>
        <w:tc>
          <w:tcPr>
            <w:tcW w:type="dxa" w:w="2600"/>
            <w:tcMar>
              <w:top w:type="dxa" w:w="60"/>
              <w:left w:type="dxa" w:w="100"/>
              <w:bottom w:type="dxa" w:w="60"/>
              <w:right w:type="dxa" w:w="100"/>
            </w:tcMar>
          </w:tcPr>
          <w:p>
            <w:r>
              <w:rPr>
                <w:rFonts w:ascii="Calibri" w:cs="Calibri" w:eastAsia="Calibri" w:hAnsi="Calibri"/>
                <w:b w:val="false"/>
                <w:bCs w:val="false"/>
                <w:color w:val="1A2B2E"/>
                <w:sz w:val="19"/>
                <w:szCs w:val="19"/>
              </w:rPr>
              <w:t xml:space="preserve">Manage risks &amp; issues</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I</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A</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R</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C</w:t>
            </w:r>
          </w:p>
        </w:tc>
      </w:tr>
      <w:tr>
        <w:trPr>
          <w:tblHeader w:val="false"/>
        </w:trPr>
        <w:tc>
          <w:tcPr>
            <w:tcW w:type="dxa" w:w="26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Report status upward</w:t>
            </w:r>
          </w:p>
        </w:tc>
        <w:tc>
          <w:tcPr>
            <w:tcW w:type="dxa" w:w="13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I</w:t>
            </w:r>
          </w:p>
        </w:tc>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A</w:t>
            </w:r>
          </w:p>
        </w:tc>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C</w:t>
            </w:r>
          </w:p>
        </w:tc>
        <w:tc>
          <w:tcPr>
            <w:tcW w:type="dxa" w:w="13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R</w:t>
            </w:r>
          </w:p>
        </w:tc>
      </w:tr>
      <w:tr>
        <w:trPr>
          <w:tblHeader w:val="false"/>
        </w:trPr>
        <w:tc>
          <w:tcPr>
            <w:tcW w:type="dxa" w:w="2600"/>
            <w:tcMar>
              <w:top w:type="dxa" w:w="60"/>
              <w:left w:type="dxa" w:w="100"/>
              <w:bottom w:type="dxa" w:w="60"/>
              <w:right w:type="dxa" w:w="100"/>
            </w:tcMar>
          </w:tcPr>
          <w:p>
            <w:r>
              <w:rPr>
                <w:rFonts w:ascii="Calibri" w:cs="Calibri" w:eastAsia="Calibri" w:hAnsi="Calibri"/>
                <w:b w:val="false"/>
                <w:bCs w:val="false"/>
                <w:color w:val="1A2B2E"/>
                <w:sz w:val="19"/>
                <w:szCs w:val="19"/>
              </w:rPr>
              <w:t xml:space="preserve">Sign off go-live</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A</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R</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C</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I</w:t>
            </w:r>
          </w:p>
        </w:tc>
      </w:tr>
    </w:tbl>
    <w:p>
      <w:pPr>
        <w:pBdr>
          <w:bottom w:val="single" w:color="D9902B" w:sz="12"/>
        </w:pBdr>
        <w:spacing w:after="120" w:before="300"/>
      </w:pPr>
      <w:r>
        <w:rPr>
          <w:rFonts w:ascii="Calibri" w:cs="Calibri" w:eastAsia="Calibri" w:hAnsi="Calibri"/>
          <w:b/>
          <w:bCs/>
          <w:color w:val="0B2630"/>
          <w:sz w:val="24"/>
          <w:szCs w:val="24"/>
        </w:rPr>
        <w:t xml:space="preserve">3.  Decision Log</w:t>
      </w:r>
    </w:p>
    <w:p>
      <w:pPr>
        <w:spacing w:after="120"/>
      </w:pPr>
      <w:r>
        <w:rPr>
          <w:rFonts w:ascii="Calibri" w:cs="Calibri" w:eastAsia="Calibri" w:hAnsi="Calibri"/>
          <w:i w:val="false"/>
          <w:iCs w:val="false"/>
          <w:color w:val="1A2B2E"/>
          <w:sz w:val="21"/>
          <w:szCs w:val="21"/>
        </w:rPr>
        <w:t xml:space="preserve">Every material decision, captured once. This is the single most useful — and most neglected — governance artifact: it ends the 'who decided that, and why?' conversation six months later.</w:t>
      </w:r>
    </w:p>
    <w:tbl>
      <w:tblPr>
        <w:tblW w:type="dxa" w:w="9000"/>
        <w:tblBorders>
          <w:top w:val="single" w:color="C9D2D2" w:sz="4"/>
          <w:left w:val="single" w:color="C9D2D2" w:sz="4"/>
          <w:bottom w:val="single" w:color="C9D2D2" w:sz="4"/>
          <w:right w:val="single" w:color="C9D2D2" w:sz="4"/>
          <w:insideH w:val="single" w:color="C9D2D2" w:sz="4"/>
          <w:insideV w:val="single" w:color="C9D2D2" w:sz="4"/>
        </w:tblBorders>
      </w:tblPr>
      <w:tblGrid>
        <w:gridCol w:w="900"/>
        <w:gridCol w:w="1200"/>
        <w:gridCol w:w="3000"/>
        <w:gridCol w:w="2600"/>
        <w:gridCol w:w="1300"/>
      </w:tblGrid>
      <w:tr>
        <w:trPr>
          <w:tblHeader/>
        </w:trPr>
        <w:tc>
          <w:tcPr>
            <w:tcW w:type="dxa" w:w="9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ID</w:t>
            </w:r>
          </w:p>
        </w:tc>
        <w:tc>
          <w:tcPr>
            <w:tcW w:type="dxa" w:w="12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Date</w:t>
            </w:r>
          </w:p>
        </w:tc>
        <w:tc>
          <w:tcPr>
            <w:tcW w:type="dxa" w:w="30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Decision</w:t>
            </w:r>
          </w:p>
        </w:tc>
        <w:tc>
          <w:tcPr>
            <w:tcW w:type="dxa" w:w="26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Rationale / options considered</w:t>
            </w:r>
          </w:p>
        </w:tc>
        <w:tc>
          <w:tcPr>
            <w:tcW w:type="dxa" w:w="13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Owner</w:t>
            </w:r>
          </w:p>
        </w:tc>
      </w:tr>
      <w:tr>
        <w:trPr>
          <w:tblHeader w:val="false"/>
        </w:trPr>
        <w:tc>
          <w:tcPr>
            <w:tcW w:type="dxa" w:w="900"/>
            <w:tcMar>
              <w:top w:type="dxa" w:w="60"/>
              <w:left w:type="dxa" w:w="100"/>
              <w:bottom w:type="dxa" w:w="60"/>
              <w:right w:type="dxa" w:w="100"/>
            </w:tcMar>
          </w:tcPr>
          <w:p>
            <w:r>
              <w:rPr>
                <w:rFonts w:ascii="Calibri" w:cs="Calibri" w:eastAsia="Calibri" w:hAnsi="Calibri"/>
                <w:b w:val="false"/>
                <w:bCs w:val="false"/>
                <w:color w:val="1A2B2E"/>
                <w:sz w:val="19"/>
                <w:szCs w:val="19"/>
              </w:rPr>
              <w:t xml:space="preserve">D-01</w:t>
            </w:r>
          </w:p>
        </w:tc>
        <w:tc>
          <w:tcPr>
            <w:tcW w:type="dxa" w:w="1200"/>
            <w:tcMar>
              <w:top w:type="dxa" w:w="60"/>
              <w:left w:type="dxa" w:w="100"/>
              <w:bottom w:type="dxa" w:w="60"/>
              <w:right w:type="dxa" w:w="100"/>
            </w:tcMar>
          </w:tcPr>
          <w:p>
            <w:r>
              <w:rPr>
                <w:rFonts w:ascii="Calibri" w:cs="Calibri" w:eastAsia="Calibri" w:hAnsi="Calibri"/>
                <w:b w:val="false"/>
                <w:bCs w:val="false"/>
                <w:color w:val="1A2B2E"/>
                <w:sz w:val="19"/>
                <w:szCs w:val="19"/>
              </w:rPr>
              <w:t xml:space="preserve">dd/mm/yy</w:t>
            </w:r>
          </w:p>
        </w:tc>
        <w:tc>
          <w:tcPr>
            <w:tcW w:type="dxa" w:w="3000"/>
            <w:tcMar>
              <w:top w:type="dxa" w:w="60"/>
              <w:left w:type="dxa" w:w="100"/>
              <w:bottom w:type="dxa" w:w="60"/>
              <w:right w:type="dxa" w:w="100"/>
            </w:tcMar>
          </w:tcPr>
          <w:p>
            <w:r>
              <w:rPr>
                <w:rFonts w:ascii="Calibri" w:cs="Calibri" w:eastAsia="Calibri" w:hAnsi="Calibri"/>
                <w:b w:val="false"/>
                <w:bCs w:val="false"/>
                <w:color w:val="1A2B2E"/>
                <w:sz w:val="19"/>
                <w:szCs w:val="19"/>
              </w:rPr>
              <w:t xml:space="preserve">e.g. Phase rollout by region, not all at once</w:t>
            </w:r>
          </w:p>
        </w:tc>
        <w:tc>
          <w:tcPr>
            <w:tcW w:type="dxa" w:w="2600"/>
            <w:tcMar>
              <w:top w:type="dxa" w:w="60"/>
              <w:left w:type="dxa" w:w="100"/>
              <w:bottom w:type="dxa" w:w="60"/>
              <w:right w:type="dxa" w:w="100"/>
            </w:tcMar>
          </w:tcPr>
          <w:p>
            <w:r>
              <w:rPr>
                <w:rFonts w:ascii="Calibri" w:cs="Calibri" w:eastAsia="Calibri" w:hAnsi="Calibri"/>
                <w:b w:val="false"/>
                <w:bCs w:val="false"/>
                <w:color w:val="1A2B2E"/>
                <w:sz w:val="19"/>
                <w:szCs w:val="19"/>
              </w:rPr>
              <w:t xml:space="preserve">Reduces blast radius; trades speed for safety</w:t>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Sponsor</w:t>
            </w:r>
          </w:p>
        </w:tc>
      </w:tr>
      <w:tr>
        <w:trPr>
          <w:tblHeader w:val="false"/>
        </w:trPr>
        <w:tc>
          <w:tcPr>
            <w:tcW w:type="dxa" w:w="9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D-02</w:t>
            </w:r>
          </w:p>
        </w:tc>
        <w:tc>
          <w:tcPr>
            <w:tcW w:type="dxa" w:w="12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30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26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13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r>
      <w:tr>
        <w:trPr>
          <w:tblHeader w:val="false"/>
        </w:trPr>
        <w:tc>
          <w:tcPr>
            <w:tcW w:type="dxa" w:w="900"/>
            <w:tcMar>
              <w:top w:type="dxa" w:w="60"/>
              <w:left w:type="dxa" w:w="100"/>
              <w:bottom w:type="dxa" w:w="60"/>
              <w:right w:type="dxa" w:w="100"/>
            </w:tcMar>
          </w:tcPr>
          <w:p>
            <w:r>
              <w:rPr>
                <w:rFonts w:ascii="Calibri" w:cs="Calibri" w:eastAsia="Calibri" w:hAnsi="Calibri"/>
                <w:b w:val="false"/>
                <w:bCs w:val="false"/>
                <w:color w:val="1A2B2E"/>
                <w:sz w:val="19"/>
                <w:szCs w:val="19"/>
              </w:rPr>
              <w:t xml:space="preserve">D-03</w:t>
            </w:r>
          </w:p>
        </w:tc>
        <w:tc>
          <w:tcPr>
            <w:tcW w:type="dxa" w:w="1200"/>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3000"/>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2600"/>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c>
          <w:tcPr>
            <w:tcW w:type="dxa" w:w="1300"/>
            <w:tcMar>
              <w:top w:type="dxa" w:w="60"/>
              <w:left w:type="dxa" w:w="100"/>
              <w:bottom w:type="dxa" w:w="60"/>
              <w:right w:type="dxa" w:w="100"/>
            </w:tcMar>
          </w:tcPr>
          <w:p>
            <w:r>
              <w:rPr>
                <w:rFonts w:ascii="Calibri" w:cs="Calibri" w:eastAsia="Calibri" w:hAnsi="Calibri"/>
                <w:b w:val="false"/>
                <w:bCs w:val="false"/>
                <w:color w:val="1A2B2E"/>
                <w:sz w:val="19"/>
                <w:szCs w:val="19"/>
              </w:rPr>
              <w:t xml:space="preserve"/>
            </w:r>
          </w:p>
        </w:tc>
      </w:tr>
    </w:tbl>
    <w:p>
      <w:pPr>
        <w:pBdr>
          <w:bottom w:val="single" w:color="D9902B" w:sz="12"/>
        </w:pBdr>
        <w:spacing w:after="120" w:before="300"/>
      </w:pPr>
      <w:r>
        <w:rPr>
          <w:rFonts w:ascii="Calibri" w:cs="Calibri" w:eastAsia="Calibri" w:hAnsi="Calibri"/>
          <w:b/>
          <w:bCs/>
          <w:color w:val="0B2630"/>
          <w:sz w:val="24"/>
          <w:szCs w:val="24"/>
        </w:rPr>
        <w:t xml:space="preserve">4.  Reporting Cadence</w:t>
      </w:r>
    </w:p>
    <w:p>
      <w:pPr>
        <w:spacing w:after="120"/>
      </w:pPr>
      <w:r>
        <w:rPr>
          <w:rFonts w:ascii="Calibri" w:cs="Calibri" w:eastAsia="Calibri" w:hAnsi="Calibri"/>
          <w:i w:val="false"/>
          <w:iCs w:val="false"/>
          <w:color w:val="1A2B2E"/>
          <w:sz w:val="21"/>
          <w:szCs w:val="21"/>
        </w:rPr>
        <w:t xml:space="preserve">What goes to whom, how often. Keep reports few and honest — a RAG status nobody trusts is worse than none.</w:t>
      </w:r>
    </w:p>
    <w:tbl>
      <w:tblPr>
        <w:tblW w:type="dxa" w:w="9000"/>
        <w:tblBorders>
          <w:top w:val="single" w:color="C9D2D2" w:sz="4"/>
          <w:left w:val="single" w:color="C9D2D2" w:sz="4"/>
          <w:bottom w:val="single" w:color="C9D2D2" w:sz="4"/>
          <w:right w:val="single" w:color="C9D2D2" w:sz="4"/>
          <w:insideH w:val="single" w:color="C9D2D2" w:sz="4"/>
          <w:insideV w:val="single" w:color="C9D2D2" w:sz="4"/>
        </w:tblBorders>
      </w:tblPr>
      <w:tblGrid>
        <w:gridCol w:w="1900"/>
        <w:gridCol w:w="2100"/>
        <w:gridCol w:w="1400"/>
        <w:gridCol w:w="1500"/>
        <w:gridCol w:w="2100"/>
      </w:tblGrid>
      <w:tr>
        <w:trPr>
          <w:tblHeader/>
        </w:trPr>
        <w:tc>
          <w:tcPr>
            <w:tcW w:type="dxa" w:w="19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Report</w:t>
            </w:r>
          </w:p>
        </w:tc>
        <w:tc>
          <w:tcPr>
            <w:tcW w:type="dxa" w:w="21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Audience</w:t>
            </w:r>
          </w:p>
        </w:tc>
        <w:tc>
          <w:tcPr>
            <w:tcW w:type="dxa" w:w="14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Frequency</w:t>
            </w:r>
          </w:p>
        </w:tc>
        <w:tc>
          <w:tcPr>
            <w:tcW w:type="dxa" w:w="15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Owner</w:t>
            </w:r>
          </w:p>
        </w:tc>
        <w:tc>
          <w:tcPr>
            <w:tcW w:type="dxa" w:w="2100"/>
            <w:shd w:fill="D9902B" w:color="auto" w:val="clear"/>
            <w:tcMar>
              <w:top w:type="dxa" w:w="60"/>
              <w:left w:type="dxa" w:w="100"/>
              <w:bottom w:type="dxa" w:w="60"/>
              <w:right w:type="dxa" w:w="100"/>
            </w:tcMar>
          </w:tcPr>
          <w:p>
            <w:r>
              <w:rPr>
                <w:rFonts w:ascii="Calibri" w:cs="Calibri" w:eastAsia="Calibri" w:hAnsi="Calibri"/>
                <w:b/>
                <w:bCs/>
                <w:color w:val="FFFFFF"/>
                <w:sz w:val="18"/>
                <w:szCs w:val="18"/>
              </w:rPr>
              <w:t xml:space="preserve">Contents</w:t>
            </w:r>
          </w:p>
        </w:tc>
      </w:tr>
      <w:tr>
        <w:trPr>
          <w:tblHeader w:val="false"/>
        </w:trPr>
        <w:tc>
          <w:tcPr>
            <w:tcW w:type="dxa" w:w="1900"/>
            <w:tcMar>
              <w:top w:type="dxa" w:w="60"/>
              <w:left w:type="dxa" w:w="100"/>
              <w:bottom w:type="dxa" w:w="60"/>
              <w:right w:type="dxa" w:w="100"/>
            </w:tcMar>
          </w:tcPr>
          <w:p>
            <w:r>
              <w:rPr>
                <w:rFonts w:ascii="Calibri" w:cs="Calibri" w:eastAsia="Calibri" w:hAnsi="Calibri"/>
                <w:b w:val="false"/>
                <w:bCs w:val="false"/>
                <w:color w:val="1A2B2E"/>
                <w:sz w:val="19"/>
                <w:szCs w:val="19"/>
              </w:rPr>
              <w:t xml:space="preserve">Highlight report</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Steering Committee</w:t>
            </w:r>
          </w:p>
        </w:tc>
        <w:tc>
          <w:tcPr>
            <w:tcW w:type="dxa" w:w="1400"/>
            <w:tcMar>
              <w:top w:type="dxa" w:w="60"/>
              <w:left w:type="dxa" w:w="100"/>
              <w:bottom w:type="dxa" w:w="60"/>
              <w:right w:type="dxa" w:w="100"/>
            </w:tcMar>
          </w:tcPr>
          <w:p>
            <w:r>
              <w:rPr>
                <w:rFonts w:ascii="Calibri" w:cs="Calibri" w:eastAsia="Calibri" w:hAnsi="Calibri"/>
                <w:b w:val="false"/>
                <w:bCs w:val="false"/>
                <w:color w:val="1A2B2E"/>
                <w:sz w:val="19"/>
                <w:szCs w:val="19"/>
              </w:rPr>
              <w:t xml:space="preserve">Monthly</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Prog. Mgr</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RAG, milestones, top risks, asks</w:t>
            </w:r>
          </w:p>
        </w:tc>
      </w:tr>
      <w:tr>
        <w:trPr>
          <w:tblHeader w:val="false"/>
        </w:trPr>
        <w:tc>
          <w:tcPr>
            <w:tcW w:type="dxa" w:w="19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Delivery status</w:t>
            </w:r>
          </w:p>
        </w:tc>
        <w:tc>
          <w:tcPr>
            <w:tcW w:type="dxa" w:w="21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Programme Board</w:t>
            </w:r>
          </w:p>
        </w:tc>
        <w:tc>
          <w:tcPr>
            <w:tcW w:type="dxa" w:w="14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Fortnightly</w:t>
            </w:r>
          </w:p>
        </w:tc>
        <w:tc>
          <w:tcPr>
            <w:tcW w:type="dxa" w:w="15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W/S leads</w:t>
            </w:r>
          </w:p>
        </w:tc>
        <w:tc>
          <w:tcPr>
            <w:tcW w:type="dxa" w:w="2100"/>
            <w:shd w:fill="F4F6F5" w:color="auto" w:val="clear"/>
            <w:tcMar>
              <w:top w:type="dxa" w:w="60"/>
              <w:left w:type="dxa" w:w="100"/>
              <w:bottom w:type="dxa" w:w="60"/>
              <w:right w:type="dxa" w:w="100"/>
            </w:tcMar>
          </w:tcPr>
          <w:p>
            <w:r>
              <w:rPr>
                <w:rFonts w:ascii="Calibri" w:cs="Calibri" w:eastAsia="Calibri" w:hAnsi="Calibri"/>
                <w:b w:val="false"/>
                <w:bCs w:val="false"/>
                <w:color w:val="1A2B2E"/>
                <w:sz w:val="19"/>
                <w:szCs w:val="19"/>
              </w:rPr>
              <w:t xml:space="preserve">Progress, blockers, dependencies</w:t>
            </w:r>
          </w:p>
        </w:tc>
      </w:tr>
      <w:tr>
        <w:trPr>
          <w:tblHeader w:val="false"/>
        </w:trPr>
        <w:tc>
          <w:tcPr>
            <w:tcW w:type="dxa" w:w="1900"/>
            <w:tcMar>
              <w:top w:type="dxa" w:w="60"/>
              <w:left w:type="dxa" w:w="100"/>
              <w:bottom w:type="dxa" w:w="60"/>
              <w:right w:type="dxa" w:w="100"/>
            </w:tcMar>
          </w:tcPr>
          <w:p>
            <w:r>
              <w:rPr>
                <w:rFonts w:ascii="Calibri" w:cs="Calibri" w:eastAsia="Calibri" w:hAnsi="Calibri"/>
                <w:b w:val="false"/>
                <w:bCs w:val="false"/>
                <w:color w:val="1A2B2E"/>
                <w:sz w:val="19"/>
                <w:szCs w:val="19"/>
              </w:rPr>
              <w:t xml:space="preserve">Stand-up notes</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Delivery Group</w:t>
            </w:r>
          </w:p>
        </w:tc>
        <w:tc>
          <w:tcPr>
            <w:tcW w:type="dxa" w:w="1400"/>
            <w:tcMar>
              <w:top w:type="dxa" w:w="60"/>
              <w:left w:type="dxa" w:w="100"/>
              <w:bottom w:type="dxa" w:w="60"/>
              <w:right w:type="dxa" w:w="100"/>
            </w:tcMar>
          </w:tcPr>
          <w:p>
            <w:r>
              <w:rPr>
                <w:rFonts w:ascii="Calibri" w:cs="Calibri" w:eastAsia="Calibri" w:hAnsi="Calibri"/>
                <w:b w:val="false"/>
                <w:bCs w:val="false"/>
                <w:color w:val="1A2B2E"/>
                <w:sz w:val="19"/>
                <w:szCs w:val="19"/>
              </w:rPr>
              <w:t xml:space="preserve">Weekly</w:t>
            </w:r>
          </w:p>
        </w:tc>
        <w:tc>
          <w:tcPr>
            <w:tcW w:type="dxa" w:w="1500"/>
            <w:tcMar>
              <w:top w:type="dxa" w:w="60"/>
              <w:left w:type="dxa" w:w="100"/>
              <w:bottom w:type="dxa" w:w="60"/>
              <w:right w:type="dxa" w:w="100"/>
            </w:tcMar>
          </w:tcPr>
          <w:p>
            <w:r>
              <w:rPr>
                <w:rFonts w:ascii="Calibri" w:cs="Calibri" w:eastAsia="Calibri" w:hAnsi="Calibri"/>
                <w:b w:val="false"/>
                <w:bCs w:val="false"/>
                <w:color w:val="1A2B2E"/>
                <w:sz w:val="19"/>
                <w:szCs w:val="19"/>
              </w:rPr>
              <w:t xml:space="preserve">W/S leads</w:t>
            </w:r>
          </w:p>
        </w:tc>
        <w:tc>
          <w:tcPr>
            <w:tcW w:type="dxa" w:w="2100"/>
            <w:tcMar>
              <w:top w:type="dxa" w:w="60"/>
              <w:left w:type="dxa" w:w="100"/>
              <w:bottom w:type="dxa" w:w="60"/>
              <w:right w:type="dxa" w:w="100"/>
            </w:tcMar>
          </w:tcPr>
          <w:p>
            <w:r>
              <w:rPr>
                <w:rFonts w:ascii="Calibri" w:cs="Calibri" w:eastAsia="Calibri" w:hAnsi="Calibri"/>
                <w:b w:val="false"/>
                <w:bCs w:val="false"/>
                <w:color w:val="1A2B2E"/>
                <w:sz w:val="19"/>
                <w:szCs w:val="19"/>
              </w:rPr>
              <w:t xml:space="preserve">This week, next week, help needed</w:t>
            </w:r>
          </w:p>
        </w:tc>
      </w:tr>
    </w:tbl>
    <w:p>
      <w:pPr>
        <w:pBdr>
          <w:bottom w:val="single" w:color="D9902B" w:sz="12"/>
        </w:pBdr>
        <w:spacing w:after="120" w:before="300"/>
      </w:pPr>
      <w:r>
        <w:rPr>
          <w:rFonts w:ascii="Calibri" w:cs="Calibri" w:eastAsia="Calibri" w:hAnsi="Calibri"/>
          <w:b/>
          <w:bCs/>
          <w:color w:val="0B2630"/>
          <w:sz w:val="24"/>
          <w:szCs w:val="24"/>
        </w:rPr>
        <w:t xml:space="preserve">5.  Escalation Path</w:t>
      </w:r>
    </w:p>
    <w:p>
      <w:pPr>
        <w:spacing w:after="120"/>
      </w:pPr>
      <w:r>
        <w:rPr>
          <w:rFonts w:ascii="Calibri" w:cs="Calibri" w:eastAsia="Calibri" w:hAnsi="Calibri"/>
          <w:i w:val="false"/>
          <w:iCs w:val="false"/>
          <w:color w:val="1A2B2E"/>
          <w:sz w:val="21"/>
          <w:szCs w:val="21"/>
        </w:rPr>
        <w:t xml:space="preserve">When something can't be resolved at its current level, it moves up — fast, and with a recommendation attached, not just a problem.</w:t>
      </w:r>
    </w:p>
    <w:p>
      <w:pPr>
        <w:spacing w:after="80"/>
      </w:pPr>
      <w:r>
        <w:rPr>
          <w:rFonts w:ascii="Calibri" w:cs="Calibri" w:eastAsia="Calibri" w:hAnsi="Calibri"/>
          <w:color w:val="1A2B2E"/>
          <w:sz w:val="21"/>
          <w:szCs w:val="21"/>
        </w:rPr>
        <w:t xml:space="preserve">1.  Raise at the Delivery Group. If not resolved within one cycle →</w:t>
      </w:r>
    </w:p>
    <w:p>
      <w:pPr>
        <w:spacing w:after="80"/>
      </w:pPr>
      <w:r>
        <w:rPr>
          <w:rFonts w:ascii="Calibri" w:cs="Calibri" w:eastAsia="Calibri" w:hAnsi="Calibri"/>
          <w:color w:val="1A2B2E"/>
          <w:sz w:val="21"/>
          <w:szCs w:val="21"/>
        </w:rPr>
        <w:t xml:space="preserve">2.  Escalate to the Programme Board with a proposed option. If it needs authority or money the Board lacks →</w:t>
      </w:r>
    </w:p>
    <w:p>
      <w:pPr>
        <w:spacing w:after="80"/>
      </w:pPr>
      <w:r>
        <w:rPr>
          <w:rFonts w:ascii="Calibri" w:cs="Calibri" w:eastAsia="Calibri" w:hAnsi="Calibri"/>
          <w:color w:val="1A2B2E"/>
          <w:sz w:val="21"/>
          <w:szCs w:val="21"/>
        </w:rPr>
        <w:t xml:space="preserve">3.  Escalate to the Steering Committee / Sponsor with a clear decision ask and a recommended path.</w:t>
      </w:r>
    </w:p>
    <w:p>
      <w:pPr>
        <w:spacing w:after="160"/>
      </w:pPr>
      <w:r>
        <w:rPr>
          <w:rFonts w:ascii="Calibri" w:cs="Calibri" w:eastAsia="Calibri" w:hAnsi="Calibri"/>
          <w:i/>
          <w:iCs/>
          <w:color w:val="B4741C"/>
          <w:sz w:val="18"/>
          <w:szCs w:val="18"/>
        </w:rPr>
        <w:t xml:space="preserve">Rule of thumb: never escalate a problem without a proposed answer. Governance moves faster when every escalation arrives decision-ready.</w:t>
      </w:r>
    </w:p>
    <w:p>
      <w:pPr>
        <w:pBdr>
          <w:bottom w:val="single" w:color="D9902B" w:sz="12"/>
        </w:pBdr>
        <w:spacing w:after="120" w:before="300"/>
      </w:pPr>
      <w:r>
        <w:rPr>
          <w:rFonts w:ascii="Calibri" w:cs="Calibri" w:eastAsia="Calibri" w:hAnsi="Calibri"/>
          <w:b/>
          <w:bCs/>
          <w:color w:val="0B2630"/>
          <w:sz w:val="24"/>
          <w:szCs w:val="24"/>
        </w:rPr>
        <w:t xml:space="preserve">Using this pack</w:t>
      </w:r>
    </w:p>
    <w:p>
      <w:pPr>
        <w:spacing w:after="120"/>
      </w:pPr>
      <w:r>
        <w:rPr>
          <w:rFonts w:ascii="Calibri" w:cs="Calibri" w:eastAsia="Calibri" w:hAnsi="Calibri"/>
          <w:i w:val="false"/>
          <w:iCs w:val="false"/>
          <w:color w:val="1A2B2E"/>
          <w:sz w:val="21"/>
          <w:szCs w:val="21"/>
        </w:rPr>
        <w:t xml:space="preserve">Adapt, don't adopt wholesale. Strip it to what your programme will genuinely maintain — a lean governance model that's actually followed beats a comprehensive one that's ignored. Revisit the structure at each phase gate; the governance a programme needs at kickoff is rarely what it needs at scale.</w:t>
      </w:r>
    </w:p>
    <w:p>
      <w:pPr>
        <w:pBdr>
          <w:top w:val="single" w:color="C9D2D2" w:sz="6"/>
        </w:pBdr>
        <w:spacing w:before="360"/>
      </w:pPr>
      <w:r>
        <w:rPr>
          <w:rFonts w:ascii="Calibri" w:cs="Calibri" w:eastAsia="Calibri" w:hAnsi="Calibri"/>
          <w:i/>
          <w:iCs/>
          <w:color w:val="B4741C"/>
          <w:sz w:val="16"/>
          <w:szCs w:val="16"/>
        </w:rPr>
        <w:t xml:space="preserve">Ritika Raje  ·  Operational Excellence &amp; Delivery  ·  ritikaaru.github.io/ritika.raje</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2026-08-31T13:22:55.403Z</dcterms:created>
  <dcterms:modified xsi:type="dcterms:W3CDTF">2026-08-31T13:22:55.413Z</dcterms:modified>
</cp:coreProperties>
</file>

<file path=docProps/custom.xml><?xml version="1.0" encoding="utf-8"?>
<Properties xmlns="http://schemas.openxmlformats.org/officeDocument/2006/custom-properties" xmlns:vt="http://schemas.openxmlformats.org/officeDocument/2006/docPropsVTypes"/>
</file>